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Microbiology</w:t>
            </w:r>
            <w:r w:rsidR="005377D3">
              <w:rPr>
                <w:b/>
                <w:bCs/>
                <w:sz w:val="24"/>
              </w:rPr>
              <w:t xml:space="preserve"> for the Health Sciences</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F470BB">
              <w:rPr>
                <w:b/>
                <w:bCs/>
                <w:sz w:val="24"/>
              </w:rPr>
              <w:t>03</w:t>
            </w:r>
            <w:r w:rsidR="009D6159">
              <w:rPr>
                <w:b/>
                <w:bCs/>
                <w:sz w:val="24"/>
              </w:rPr>
              <w:t>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r w:rsidR="007C7BBF">
              <w:rPr>
                <w:b/>
                <w:bCs/>
                <w:sz w:val="24"/>
              </w:rPr>
              <w:t xml:space="preserve"> 201</w:t>
            </w:r>
            <w:r w:rsidR="00105110">
              <w:rPr>
                <w:b/>
                <w:bCs/>
                <w:sz w:val="24"/>
              </w:rPr>
              <w:t>5</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Collaborative B.Sc.N.</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FA7E77">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0156E5" w:rsidRDefault="00B62EFE">
            <w:pPr>
              <w:rPr>
                <w:b/>
                <w:bCs/>
                <w:sz w:val="24"/>
              </w:rPr>
            </w:pPr>
            <w:r>
              <w:rPr>
                <w:b/>
                <w:bCs/>
                <w:sz w:val="24"/>
              </w:rPr>
              <w:t xml:space="preserve">Office: D1201                                     759-2554 ext. </w:t>
            </w:r>
            <w:r w:rsidR="00364AA8">
              <w:rPr>
                <w:b/>
                <w:bCs/>
                <w:sz w:val="24"/>
              </w:rPr>
              <w:t>2</w:t>
            </w:r>
            <w:r>
              <w:rPr>
                <w:b/>
                <w:bCs/>
                <w:sz w:val="24"/>
              </w:rPr>
              <w:t>630</w:t>
            </w:r>
          </w:p>
          <w:p w:rsidR="00746093" w:rsidRDefault="00746093">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105110">
              <w:rPr>
                <w:b/>
                <w:bCs/>
                <w:sz w:val="24"/>
              </w:rPr>
              <w:t>5</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105110" w:rsidP="00105110">
            <w:pPr>
              <w:rPr>
                <w:b/>
                <w:bCs/>
                <w:sz w:val="24"/>
              </w:rPr>
            </w:pPr>
            <w:r>
              <w:rPr>
                <w:b/>
                <w:bCs/>
                <w:sz w:val="24"/>
              </w:rPr>
              <w:t>Sept. 2014</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E34C1" w:rsidRPr="00FA7E77" w:rsidRDefault="00FA7E77">
            <w:pPr>
              <w:pStyle w:val="Heading2"/>
              <w:rPr>
                <w:b w:val="0"/>
                <w:i/>
                <w:lang w:val="en-US"/>
              </w:rPr>
            </w:pPr>
            <w:r w:rsidRPr="00FA7E77">
              <w:rPr>
                <w:b w:val="0"/>
                <w:i/>
                <w:lang w:val="en-US"/>
              </w:rP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E34C1" w:rsidRPr="00FA7E77" w:rsidRDefault="00FA7E77">
            <w:pPr>
              <w:rPr>
                <w:rFonts w:ascii="Times New Roman" w:hAnsi="Times New Roman"/>
                <w:i/>
                <w:sz w:val="24"/>
                <w:lang w:val="en-GB"/>
              </w:rPr>
            </w:pPr>
            <w:r w:rsidRPr="00FA7E77">
              <w:rPr>
                <w:rFonts w:ascii="Times New Roman" w:hAnsi="Times New Roman"/>
                <w:i/>
                <w:sz w:val="24"/>
                <w:lang w:val="en-GB"/>
              </w:rPr>
              <w:t>June, 2015</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7C7BBF">
              <w:rPr>
                <w:rFonts w:ascii="Arial" w:hAnsi="Arial"/>
                <w:sz w:val="22"/>
                <w:szCs w:val="22"/>
              </w:rPr>
              <w:t>1</w:t>
            </w:r>
            <w:r w:rsidR="00105110">
              <w:rPr>
                <w:rFonts w:ascii="Arial" w:hAnsi="Arial"/>
                <w:sz w:val="22"/>
                <w:szCs w:val="22"/>
              </w:rPr>
              <w:t>5</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F470BB">
            <w:r w:rsidRPr="008D291F">
              <w:t xml:space="preserve">This course is </w:t>
            </w:r>
            <w:r w:rsidR="00F470BB">
              <w:t>an introductory microbiology course with applications in the health sciences. It will provide students with the basics of microbial cell structure and function, antimicrobial therapy and drug resistance, the immune system, antibodies, and diagnostic microbiology. The involvement of microbes in emerging and re-emerging infectious diseases will be briefly discussed. Nosocomial and sexually transmitted infections will also be discussed. Pre-requisites: BIOL1506/1507, 12U Biology, or permission of the instructor. May not be combined with BIOL2026 for credit (</w:t>
            </w:r>
            <w:proofErr w:type="spellStart"/>
            <w:r w:rsidR="00F470BB">
              <w:t>lec</w:t>
            </w:r>
            <w:proofErr w:type="spellEnd"/>
            <w:r w:rsidR="00F470BB">
              <w:t xml:space="preserve"> 3 </w:t>
            </w:r>
            <w:proofErr w:type="spellStart"/>
            <w:r w:rsidR="00F470BB">
              <w:t>hrs</w:t>
            </w:r>
            <w:proofErr w:type="spellEnd"/>
            <w:r w:rsidR="00F470BB">
              <w:t xml:space="preserve">, lab 3 </w:t>
            </w:r>
            <w:proofErr w:type="spellStart"/>
            <w:r w:rsidR="00F470BB">
              <w:t>hrs</w:t>
            </w:r>
            <w:proofErr w:type="spellEnd"/>
            <w:r w:rsidR="00F470BB">
              <w:t xml:space="preserve">). </w:t>
            </w:r>
          </w:p>
        </w:tc>
      </w:tr>
    </w:tbl>
    <w:p w:rsidR="00B62EFE" w:rsidRDefault="00B62EFE"/>
    <w:p w:rsidR="00B62EFE" w:rsidRDefault="00B62EFE"/>
    <w:tbl>
      <w:tblPr>
        <w:tblW w:w="0" w:type="auto"/>
        <w:tblLayout w:type="fixed"/>
        <w:tblLook w:val="0000" w:firstRow="0" w:lastRow="0" w:firstColumn="0" w:lastColumn="0" w:noHBand="0" w:noVBand="0"/>
      </w:tblPr>
      <w:tblGrid>
        <w:gridCol w:w="675"/>
        <w:gridCol w:w="567"/>
        <w:gridCol w:w="8136"/>
        <w:gridCol w:w="90"/>
      </w:tblGrid>
      <w:tr w:rsidR="00B62EFE">
        <w:trPr>
          <w:cantSplit/>
        </w:trPr>
        <w:tc>
          <w:tcPr>
            <w:tcW w:w="675" w:type="dxa"/>
          </w:tcPr>
          <w:p w:rsidR="00B62EFE" w:rsidRDefault="00B62EFE">
            <w:pPr>
              <w:rPr>
                <w:b/>
              </w:rPr>
            </w:pPr>
            <w:r>
              <w:rPr>
                <w:b/>
              </w:rPr>
              <w:t>II.</w:t>
            </w:r>
          </w:p>
        </w:tc>
        <w:tc>
          <w:tcPr>
            <w:tcW w:w="8793" w:type="dxa"/>
            <w:gridSpan w:val="3"/>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3"/>
          </w:tcPr>
          <w:p w:rsidR="00B62EFE" w:rsidRDefault="00AB7749" w:rsidP="00AB7749">
            <w:r>
              <w:t xml:space="preserve">Students in this course will be exposed to the basic principles of microbiology and the involvement of microbes in diseases. The teaching involves both theory and practical aspects of microbiology as students engage in weekly laboratory exercises. Students learn the art of microbial manipulation and a thorough knowledge of their structure and how to control their growth by means of physical and chemical methods. Students will build a better understanding of the role of microbes in health and disease and how to control their involvement in diseases within health care facilities. </w:t>
            </w:r>
            <w:r w:rsidR="0076590B">
              <w:t>The following outcomes will be met by students who successfully complete this course.</w:t>
            </w:r>
          </w:p>
          <w:p w:rsidR="0076590B" w:rsidRDefault="0076590B" w:rsidP="00AB7749"/>
          <w:p w:rsidR="0076590B" w:rsidRDefault="0076590B" w:rsidP="0076590B">
            <w:r w:rsidRPr="00B10DC0">
              <w:rPr>
                <w:b/>
              </w:rPr>
              <w:t>(A) Knowledge</w:t>
            </w:r>
          </w:p>
          <w:p w:rsidR="0076590B" w:rsidRDefault="0076590B" w:rsidP="0076590B"/>
          <w:p w:rsidR="0076590B" w:rsidRDefault="0076590B" w:rsidP="0076590B">
            <w:r>
              <w:t>•</w:t>
            </w:r>
            <w:r>
              <w:tab/>
              <w:t>To familiarize students with the basic structure and morphology of microorganisms, with emphasis on bacteria.</w:t>
            </w:r>
          </w:p>
          <w:p w:rsidR="0076590B" w:rsidRDefault="0076590B" w:rsidP="0076590B">
            <w:r>
              <w:t>•</w:t>
            </w:r>
            <w:r>
              <w:tab/>
              <w:t>To introduce students to the immune and non-immune protective systems in humans.</w:t>
            </w:r>
          </w:p>
          <w:p w:rsidR="0076590B" w:rsidRDefault="0076590B" w:rsidP="0076590B">
            <w:r>
              <w:t>•</w:t>
            </w:r>
            <w:r>
              <w:tab/>
              <w:t>To introduce students to the field of infectious diseases and such areas as epidemiology and diagnostic microbiology.</w:t>
            </w:r>
          </w:p>
          <w:p w:rsidR="0076590B" w:rsidRDefault="0076590B" w:rsidP="0076590B">
            <w:r>
              <w:t>•</w:t>
            </w:r>
            <w:r>
              <w:tab/>
              <w:t xml:space="preserve">To train students in distinguishing between normal </w:t>
            </w:r>
            <w:proofErr w:type="spellStart"/>
            <w:r>
              <w:t>mictoflora</w:t>
            </w:r>
            <w:proofErr w:type="spellEnd"/>
            <w:r>
              <w:t>, opportunistic pathogens, and emerging infectious agents.</w:t>
            </w:r>
          </w:p>
          <w:p w:rsidR="0076590B" w:rsidRDefault="0076590B" w:rsidP="0076590B">
            <w:r>
              <w:t>•</w:t>
            </w:r>
            <w:r>
              <w:tab/>
              <w:t>To learn the principles and applications of the various chemical, physical, and radiation-based methods of microbial control.</w:t>
            </w:r>
          </w:p>
          <w:p w:rsidR="0076590B" w:rsidRDefault="0076590B" w:rsidP="0076590B">
            <w:r>
              <w:t>•</w:t>
            </w:r>
            <w:r>
              <w:tab/>
              <w:t>To expose students to the dynamics of common nosocomial infections and emerging infectious agents.</w:t>
            </w:r>
          </w:p>
          <w:p w:rsidR="0076590B" w:rsidRDefault="0076590B" w:rsidP="0076590B"/>
          <w:p w:rsidR="0076590B" w:rsidRPr="00B10DC0" w:rsidRDefault="0076590B" w:rsidP="0076590B">
            <w:pPr>
              <w:rPr>
                <w:b/>
              </w:rPr>
            </w:pPr>
            <w:r w:rsidRPr="00B10DC0">
              <w:rPr>
                <w:b/>
              </w:rPr>
              <w:t>(B) Skills</w:t>
            </w:r>
          </w:p>
          <w:p w:rsidR="0076590B" w:rsidRDefault="0076590B" w:rsidP="0076590B"/>
          <w:p w:rsidR="0076590B" w:rsidRDefault="0076590B" w:rsidP="0076590B">
            <w:r>
              <w:t>•</w:t>
            </w:r>
            <w:r>
              <w:tab/>
              <w:t>To equip students with the knowledge and practical skills of sterile techniques of handling and culturing microorganisms.</w:t>
            </w:r>
          </w:p>
          <w:p w:rsidR="0076590B" w:rsidRDefault="0076590B" w:rsidP="0076590B">
            <w:r>
              <w:t>•</w:t>
            </w:r>
            <w:r>
              <w:tab/>
              <w:t>To train students to be able to correlate certain clinical symptoms with specific infectious diseases.</w:t>
            </w:r>
          </w:p>
          <w:p w:rsidR="0076590B" w:rsidRDefault="0076590B" w:rsidP="0076590B">
            <w:r>
              <w:t>•</w:t>
            </w:r>
            <w:r>
              <w:tab/>
              <w:t>To enable students to identify common pathogenic bacteria and be able to explain clinical diagnostic tests and antibiotic testing results.</w:t>
            </w:r>
          </w:p>
          <w:p w:rsidR="0076590B" w:rsidRDefault="0076590B" w:rsidP="0076590B"/>
          <w:p w:rsidR="0076590B" w:rsidRDefault="0076590B" w:rsidP="0076590B"/>
          <w:p w:rsidR="0076590B" w:rsidRDefault="0076590B" w:rsidP="0076590B"/>
          <w:p w:rsidR="0076590B" w:rsidRDefault="0076590B" w:rsidP="0076590B"/>
          <w:p w:rsidR="0076590B" w:rsidRDefault="0076590B" w:rsidP="0076590B"/>
        </w:tc>
      </w:tr>
      <w:tr w:rsidR="00B62EFE">
        <w:trPr>
          <w:gridAfter w:val="1"/>
          <w:wAfter w:w="90" w:type="dxa"/>
          <w:cantSplit/>
        </w:trPr>
        <w:tc>
          <w:tcPr>
            <w:tcW w:w="675" w:type="dxa"/>
          </w:tcPr>
          <w:p w:rsidR="00AB7749" w:rsidRDefault="00AB7749">
            <w:pPr>
              <w:rPr>
                <w:b/>
              </w:rPr>
            </w:pPr>
          </w:p>
          <w:p w:rsidR="00B62EFE" w:rsidRDefault="00B62EFE">
            <w:pPr>
              <w:rPr>
                <w:b/>
              </w:rPr>
            </w:pPr>
            <w:r>
              <w:rPr>
                <w:b/>
              </w:rPr>
              <w:t>III.</w:t>
            </w:r>
          </w:p>
        </w:tc>
        <w:tc>
          <w:tcPr>
            <w:tcW w:w="8703" w:type="dxa"/>
            <w:gridSpan w:val="2"/>
          </w:tcPr>
          <w:p w:rsidR="00AB7749" w:rsidRDefault="00AB7749">
            <w:pPr>
              <w:rPr>
                <w:b/>
              </w:rPr>
            </w:pPr>
          </w:p>
          <w:p w:rsidR="00B62EFE" w:rsidRDefault="00B62EFE">
            <w:pPr>
              <w:rPr>
                <w:b/>
              </w:rPr>
            </w:pPr>
            <w:r>
              <w:rPr>
                <w:b/>
              </w:rPr>
              <w:t>TOPICS:</w:t>
            </w:r>
          </w:p>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 xml:space="preserve">Introduction to </w:t>
            </w:r>
            <w:r w:rsidR="00F470BB">
              <w:t xml:space="preserve">and Brief History of </w:t>
            </w:r>
            <w:r>
              <w:t>Microbiology</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F470BB">
            <w:r>
              <w:t>Introduction to the Microbial World</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F470BB">
            <w:r>
              <w:t>Microbial Cell Structure</w:t>
            </w:r>
          </w:p>
        </w:tc>
      </w:tr>
      <w:tr w:rsidR="00B62EFE">
        <w:trPr>
          <w:gridAfter w:val="1"/>
          <w:wAfter w:w="90" w:type="dxa"/>
        </w:trPr>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470BB">
            <w:r>
              <w:t>Viruses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470BB">
            <w:r>
              <w:t>Microbial Growth and Culture Techniques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470BB" w:rsidP="00F3046C">
            <w:r>
              <w:t>Physical and Chemical Control of Microbial Growth</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470BB">
            <w:r>
              <w:t>Antibiotics and Drug Resistance</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470BB" w:rsidP="00F3046C">
            <w:r>
              <w:t>Human Innate Immune Defenses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470BB">
            <w:r>
              <w:t>Immunity and Vaccination in Humans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470BB">
            <w:r>
              <w:t>Nosocomial Infections and Sexually Transmitted Diseases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470BB">
            <w:r>
              <w:t>Emerging Infectious Diseases</w:t>
            </w:r>
          </w:p>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470BB">
            <w:r>
              <w:t>Diagnostic Microbiology</w:t>
            </w:r>
          </w:p>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cantSplit/>
        </w:trPr>
        <w:tc>
          <w:tcPr>
            <w:tcW w:w="675" w:type="dxa"/>
          </w:tcPr>
          <w:p w:rsidR="00B62EFE" w:rsidRDefault="00B62EFE">
            <w:pPr>
              <w:rPr>
                <w:b/>
              </w:rPr>
            </w:pPr>
            <w:r>
              <w:rPr>
                <w:b/>
              </w:rPr>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Default="0076590B" w:rsidP="00284AFE">
            <w:pPr>
              <w:rPr>
                <w:rFonts w:cs="Arial"/>
                <w:szCs w:val="22"/>
              </w:rPr>
            </w:pPr>
            <w:proofErr w:type="spellStart"/>
            <w:r>
              <w:rPr>
                <w:rFonts w:cs="Arial"/>
                <w:szCs w:val="22"/>
              </w:rPr>
              <w:t>Strelkaukas</w:t>
            </w:r>
            <w:proofErr w:type="spellEnd"/>
            <w:r>
              <w:rPr>
                <w:rFonts w:cs="Arial"/>
                <w:szCs w:val="22"/>
              </w:rPr>
              <w:t xml:space="preserve">, A., A. Edwards, B. </w:t>
            </w:r>
            <w:proofErr w:type="spellStart"/>
            <w:r>
              <w:rPr>
                <w:rFonts w:cs="Arial"/>
                <w:szCs w:val="22"/>
              </w:rPr>
              <w:t>Fahnert</w:t>
            </w:r>
            <w:proofErr w:type="spellEnd"/>
            <w:r>
              <w:rPr>
                <w:rFonts w:cs="Arial"/>
                <w:szCs w:val="22"/>
              </w:rPr>
              <w:t xml:space="preserve">, G. Pryor, J, </w:t>
            </w:r>
            <w:proofErr w:type="spellStart"/>
            <w:r>
              <w:rPr>
                <w:rFonts w:cs="Arial"/>
                <w:szCs w:val="22"/>
              </w:rPr>
              <w:t>Strelkauskas</w:t>
            </w:r>
            <w:proofErr w:type="spellEnd"/>
            <w:r>
              <w:rPr>
                <w:rFonts w:cs="Arial"/>
                <w:szCs w:val="22"/>
              </w:rPr>
              <w:t xml:space="preserve">. (2015). </w:t>
            </w:r>
            <w:r w:rsidRPr="00105110">
              <w:rPr>
                <w:rFonts w:cs="Arial"/>
                <w:i/>
                <w:szCs w:val="22"/>
              </w:rPr>
              <w:t>Microbiology, A Clinical Approach</w:t>
            </w:r>
            <w:r>
              <w:rPr>
                <w:rFonts w:cs="Arial"/>
                <w:szCs w:val="22"/>
              </w:rPr>
              <w:t xml:space="preserve"> (2</w:t>
            </w:r>
            <w:r w:rsidRPr="0076590B">
              <w:rPr>
                <w:rFonts w:cs="Arial"/>
                <w:szCs w:val="22"/>
                <w:vertAlign w:val="superscript"/>
              </w:rPr>
              <w:t>nd</w:t>
            </w:r>
            <w:r>
              <w:rPr>
                <w:rFonts w:cs="Arial"/>
                <w:szCs w:val="22"/>
              </w:rPr>
              <w:t xml:space="preserve"> ed.). </w:t>
            </w:r>
            <w:r w:rsidR="00105110">
              <w:rPr>
                <w:rFonts w:cs="Arial"/>
                <w:szCs w:val="22"/>
              </w:rPr>
              <w:t xml:space="preserve">New York, NY: </w:t>
            </w:r>
            <w:r w:rsidR="00105110" w:rsidRPr="00284AFE">
              <w:rPr>
                <w:rFonts w:cs="Arial"/>
                <w:szCs w:val="22"/>
              </w:rPr>
              <w:t>Garland Science</w:t>
            </w:r>
            <w:r w:rsidR="00105110">
              <w:rPr>
                <w:rFonts w:cs="Arial"/>
                <w:szCs w:val="22"/>
              </w:rPr>
              <w:t xml:space="preserve"> Taylor and Francis.  ISBN: </w:t>
            </w:r>
            <w:r w:rsidR="00105110" w:rsidRPr="00105110">
              <w:rPr>
                <w:rFonts w:cs="Arial"/>
                <w:szCs w:val="22"/>
              </w:rPr>
              <w:t>978</w:t>
            </w:r>
            <w:r w:rsidR="00105110">
              <w:rPr>
                <w:rFonts w:cs="Arial"/>
                <w:szCs w:val="22"/>
              </w:rPr>
              <w:t>-</w:t>
            </w:r>
            <w:r w:rsidR="00105110" w:rsidRPr="00105110">
              <w:rPr>
                <w:rFonts w:cs="Arial"/>
                <w:szCs w:val="22"/>
              </w:rPr>
              <w:t>0</w:t>
            </w:r>
            <w:r w:rsidR="00105110">
              <w:rPr>
                <w:rFonts w:cs="Arial"/>
                <w:szCs w:val="22"/>
              </w:rPr>
              <w:t>-</w:t>
            </w:r>
            <w:r w:rsidR="00105110" w:rsidRPr="00105110">
              <w:rPr>
                <w:rFonts w:cs="Arial"/>
                <w:szCs w:val="22"/>
              </w:rPr>
              <w:t>815</w:t>
            </w:r>
            <w:r w:rsidR="00105110">
              <w:rPr>
                <w:rFonts w:cs="Arial"/>
                <w:szCs w:val="22"/>
              </w:rPr>
              <w:t>-</w:t>
            </w:r>
            <w:r w:rsidR="00105110" w:rsidRPr="00105110">
              <w:rPr>
                <w:rFonts w:cs="Arial"/>
                <w:szCs w:val="22"/>
              </w:rPr>
              <w:t>34513</w:t>
            </w:r>
            <w:r w:rsidR="00105110">
              <w:rPr>
                <w:rFonts w:cs="Arial"/>
                <w:szCs w:val="22"/>
              </w:rPr>
              <w:t>-</w:t>
            </w:r>
            <w:r w:rsidR="00105110" w:rsidRPr="00105110">
              <w:rPr>
                <w:rFonts w:cs="Arial"/>
                <w:szCs w:val="22"/>
              </w:rPr>
              <w:t>8</w:t>
            </w:r>
          </w:p>
          <w:p w:rsidR="005377D3" w:rsidRPr="00284AFE" w:rsidRDefault="005377D3"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Laboratory 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r w:rsidR="005377D3">
              <w:t xml:space="preserve"> </w:t>
            </w:r>
            <w:r w:rsidR="005377D3" w:rsidRPr="005377D3">
              <w:rPr>
                <w:rFonts w:cs="Arial"/>
                <w:szCs w:val="22"/>
              </w:rPr>
              <w:t>ISBN : 978-1-118-13525-9</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FC2F50" w:rsidP="00FC2F50">
            <w:pPr>
              <w:rPr>
                <w:b/>
                <w:i/>
                <w:iCs/>
              </w:rPr>
            </w:pPr>
            <w:r>
              <w:rPr>
                <w:b/>
                <w:i/>
                <w:iCs/>
              </w:rPr>
              <w:t xml:space="preserve">A </w:t>
            </w:r>
            <w:r w:rsidR="00B62EFE">
              <w:rPr>
                <w:b/>
                <w:i/>
                <w:iCs/>
              </w:rPr>
              <w:t>supply of gloves</w:t>
            </w:r>
            <w:r w:rsidR="005377D3">
              <w:rPr>
                <w:b/>
                <w:i/>
                <w:iCs/>
              </w:rPr>
              <w:t xml:space="preserve"> will be made</w:t>
            </w:r>
            <w:r w:rsidR="00B62EFE">
              <w:rPr>
                <w:b/>
                <w:i/>
                <w:iCs/>
              </w:rPr>
              <w:t xml:space="preserve"> available in the laboratory</w:t>
            </w:r>
            <w:r>
              <w:rPr>
                <w:b/>
                <w:i/>
                <w:iCs/>
              </w:rPr>
              <w:t>.</w:t>
            </w:r>
          </w:p>
          <w:p w:rsidR="00FC2F50" w:rsidRDefault="00FC2F50" w:rsidP="00FC2F50">
            <w:pPr>
              <w:rPr>
                <w:bCs/>
                <w:i/>
              </w:rPr>
            </w:pPr>
          </w:p>
        </w:tc>
      </w:tr>
    </w:tbl>
    <w:p w:rsidR="00B62EFE" w:rsidRDefault="00B62EFE"/>
    <w:tbl>
      <w:tblPr>
        <w:tblW w:w="0" w:type="auto"/>
        <w:jc w:val="center"/>
        <w:tblLayout w:type="fixed"/>
        <w:tblLook w:val="0000" w:firstRow="0" w:lastRow="0" w:firstColumn="0" w:lastColumn="0" w:noHBand="0" w:noVBand="0"/>
      </w:tblPr>
      <w:tblGrid>
        <w:gridCol w:w="675"/>
        <w:gridCol w:w="8793"/>
      </w:tblGrid>
      <w:tr w:rsidR="00B62EFE" w:rsidTr="00FA7E77">
        <w:trPr>
          <w:cantSplit/>
          <w:trHeight w:val="6201"/>
          <w:jc w:val="center"/>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w:t>
            </w:r>
            <w:proofErr w:type="spellStart"/>
            <w:r>
              <w:t>TBA</w:t>
            </w:r>
            <w:proofErr w:type="spellEnd"/>
            <w:r>
              <w:t xml:space="preserve">)                   </w:t>
            </w:r>
            <w:r>
              <w:tab/>
              <w:t>4</w:t>
            </w:r>
            <w:r w:rsidR="0076590B">
              <w:t>5</w:t>
            </w:r>
            <w:r>
              <w:t>%</w:t>
            </w:r>
          </w:p>
          <w:p w:rsidR="007036AC" w:rsidRDefault="00B62EFE">
            <w:pPr>
              <w:pStyle w:val="EnvelopeReturn"/>
            </w:pPr>
            <w:r>
              <w:t>Laboratory</w:t>
            </w:r>
            <w:r w:rsidR="0076590B">
              <w:t xml:space="preserve"> Tests</w:t>
            </w:r>
            <w:r>
              <w:t xml:space="preserve">       </w:t>
            </w:r>
            <w:r w:rsidR="007036AC">
              <w:t xml:space="preserve">                              </w:t>
            </w:r>
            <w:r w:rsidR="007036AC">
              <w:tab/>
            </w:r>
            <w:r w:rsidR="0076590B">
              <w:t xml:space="preserve">           30</w:t>
            </w:r>
            <w:r>
              <w:t>%</w:t>
            </w:r>
          </w:p>
          <w:p w:rsidR="0076590B" w:rsidRDefault="0076590B">
            <w:pPr>
              <w:pStyle w:val="EnvelopeReturn"/>
            </w:pPr>
            <w:r>
              <w:t>(weekly quizzes; final comprehensive lab exam)</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w:t>
            </w:r>
            <w:r w:rsidR="005377D3" w:rsidRPr="005377D3">
              <w:rPr>
                <w:i/>
                <w:u w:val="single"/>
              </w:rPr>
              <w:t xml:space="preserve">it is the </w:t>
            </w:r>
            <w:r w:rsidR="005377D3" w:rsidRPr="005377D3">
              <w:rPr>
                <w:bCs/>
                <w:i/>
                <w:u w:val="single"/>
              </w:rPr>
              <w:t xml:space="preserve">student’s </w:t>
            </w:r>
            <w:r w:rsidR="005377D3" w:rsidRPr="005377D3">
              <w:rPr>
                <w:i/>
                <w:u w:val="single"/>
              </w:rPr>
              <w:t>responsibility</w:t>
            </w:r>
            <w:r w:rsidR="005377D3">
              <w:t xml:space="preserve"> </w:t>
            </w:r>
            <w:r>
              <w:t xml:space="preserve">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tc>
      </w:tr>
    </w:tbl>
    <w:p w:rsidR="00FC2F50" w:rsidRDefault="00FC2F50"/>
    <w:tbl>
      <w:tblPr>
        <w:tblW w:w="9468" w:type="dxa"/>
        <w:tblLayout w:type="fixed"/>
        <w:tblLook w:val="0000" w:firstRow="0" w:lastRow="0" w:firstColumn="0" w:lastColumn="0" w:noHBand="0" w:noVBand="0"/>
      </w:tblPr>
      <w:tblGrid>
        <w:gridCol w:w="675"/>
        <w:gridCol w:w="1701"/>
        <w:gridCol w:w="4678"/>
        <w:gridCol w:w="2414"/>
      </w:tblGrid>
      <w:tr w:rsidR="00B62EFE" w:rsidTr="00FA7E77">
        <w:trPr>
          <w:cantSplit/>
        </w:trPr>
        <w:tc>
          <w:tcPr>
            <w:tcW w:w="675" w:type="dxa"/>
          </w:tcPr>
          <w:p w:rsidR="00B62EFE" w:rsidRDefault="00B62EFE">
            <w:pPr>
              <w:pStyle w:val="EnvelopeReturn"/>
              <w:rPr>
                <w:b/>
                <w:bCs/>
              </w:rPr>
            </w:pPr>
            <w:r>
              <w:br w:type="page"/>
            </w:r>
          </w:p>
        </w:tc>
        <w:tc>
          <w:tcPr>
            <w:tcW w:w="8793" w:type="dxa"/>
            <w:gridSpan w:val="3"/>
          </w:tcPr>
          <w:p w:rsidR="00B62EFE" w:rsidRDefault="00B62EFE" w:rsidP="008D291F">
            <w:pPr>
              <w:rPr>
                <w:b/>
                <w:bCs/>
              </w:rPr>
            </w:pPr>
            <w:r>
              <w:rPr>
                <w:b/>
                <w:bCs/>
              </w:rPr>
              <w:t>The following semester grades will be assigned to students:</w:t>
            </w:r>
          </w:p>
        </w:tc>
      </w:tr>
      <w:tr w:rsidR="00B62EFE" w:rsidTr="00FA7E77">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rsidTr="00FA7E77">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76590B">
            <w:pPr>
              <w:jc w:val="center"/>
              <w:rPr>
                <w:rFonts w:cs="Arial"/>
              </w:rPr>
            </w:pPr>
            <w:r>
              <w:rPr>
                <w:rFonts w:cs="Arial"/>
              </w:rPr>
              <w:t xml:space="preserve">  </w:t>
            </w:r>
            <w:r w:rsidR="00B62EFE">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rsidTr="00FA7E77">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rsidTr="00FA7E77">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10DC0" w:rsidTr="00FA7E77">
        <w:trPr>
          <w:trHeight w:val="320"/>
        </w:trPr>
        <w:tc>
          <w:tcPr>
            <w:tcW w:w="675" w:type="dxa"/>
          </w:tcPr>
          <w:p w:rsidR="00B10DC0" w:rsidRPr="00B10DC0" w:rsidRDefault="00B10DC0" w:rsidP="00B10DC0">
            <w:pPr>
              <w:rPr>
                <w:rFonts w:cs="Arial"/>
              </w:rPr>
            </w:pPr>
          </w:p>
        </w:tc>
        <w:tc>
          <w:tcPr>
            <w:tcW w:w="1701" w:type="dxa"/>
          </w:tcPr>
          <w:p w:rsidR="00B10DC0" w:rsidRDefault="00B10DC0">
            <w:pPr>
              <w:rPr>
                <w:rFonts w:cs="Arial"/>
              </w:rPr>
            </w:pPr>
            <w:r>
              <w:rPr>
                <w:rFonts w:cs="Arial"/>
              </w:rPr>
              <w:t>W</w:t>
            </w:r>
          </w:p>
        </w:tc>
        <w:tc>
          <w:tcPr>
            <w:tcW w:w="4678" w:type="dxa"/>
          </w:tcPr>
          <w:p w:rsidR="00B10DC0" w:rsidRDefault="00FA7E77" w:rsidP="00645CBF">
            <w:pPr>
              <w:rPr>
                <w:rFonts w:cs="Arial"/>
              </w:rPr>
            </w:pPr>
            <w:r>
              <w:t>Student has withdrawn from the course without academic penalty.</w:t>
            </w:r>
          </w:p>
        </w:tc>
        <w:tc>
          <w:tcPr>
            <w:tcW w:w="2414" w:type="dxa"/>
          </w:tcPr>
          <w:p w:rsidR="00B10DC0" w:rsidRDefault="00B10DC0">
            <w:pPr>
              <w:jc w:val="center"/>
              <w:rPr>
                <w:rFonts w:cs="Arial"/>
              </w:rPr>
            </w:pPr>
          </w:p>
        </w:tc>
      </w:tr>
      <w:tr w:rsidR="00FA7E77" w:rsidTr="00FA7E77">
        <w:trPr>
          <w:trHeight w:val="1700"/>
        </w:trPr>
        <w:tc>
          <w:tcPr>
            <w:tcW w:w="9468" w:type="dxa"/>
            <w:gridSpan w:val="4"/>
          </w:tcPr>
          <w:p w:rsidR="00FA7E77" w:rsidRDefault="00FA7E77" w:rsidP="00B10DC0">
            <w:pPr>
              <w:rPr>
                <w:rFonts w:cs="Arial"/>
              </w:rPr>
            </w:pPr>
          </w:p>
          <w:p w:rsidR="00FA7E77" w:rsidRDefault="00FA7E77" w:rsidP="00FA7E77">
            <w:pPr>
              <w:rPr>
                <w:rFonts w:cs="Arial"/>
              </w:rPr>
            </w:pPr>
            <w:r w:rsidRPr="00B10DC0">
              <w:rPr>
                <w:rFonts w:cs="Arial"/>
                <w:b/>
                <w: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cs="Arial"/>
              </w:rPr>
              <w:t xml:space="preserve">. </w:t>
            </w:r>
          </w:p>
          <w:p w:rsidR="00FA7E77" w:rsidRDefault="00FA7E77" w:rsidP="00FA7E77">
            <w:pPr>
              <w:rPr>
                <w:rFonts w:cs="Arial"/>
              </w:rPr>
            </w:pPr>
          </w:p>
          <w:p w:rsidR="00FA7E77" w:rsidRDefault="00FA7E77" w:rsidP="00FA7E77">
            <w:pPr>
              <w:rPr>
                <w:rFonts w:cs="Arial"/>
              </w:rPr>
            </w:pPr>
          </w:p>
        </w:tc>
      </w:tr>
      <w:tr w:rsidR="00B10DC0" w:rsidTr="00FA7E77">
        <w:trPr>
          <w:cantSplit/>
        </w:trPr>
        <w:tc>
          <w:tcPr>
            <w:tcW w:w="675" w:type="dxa"/>
          </w:tcPr>
          <w:p w:rsidR="00B10DC0" w:rsidRDefault="00B10DC0">
            <w:pPr>
              <w:rPr>
                <w:b/>
              </w:rPr>
            </w:pPr>
            <w:r>
              <w:rPr>
                <w:b/>
              </w:rPr>
              <w:t>VI.</w:t>
            </w:r>
          </w:p>
        </w:tc>
        <w:tc>
          <w:tcPr>
            <w:tcW w:w="8793" w:type="dxa"/>
            <w:gridSpan w:val="3"/>
          </w:tcPr>
          <w:p w:rsidR="00B10DC0" w:rsidRDefault="00B10DC0">
            <w:pPr>
              <w:rPr>
                <w:b/>
              </w:rPr>
            </w:pPr>
            <w:r>
              <w:rPr>
                <w:b/>
              </w:rPr>
              <w:t>SPECIAL NOTES:</w:t>
            </w:r>
          </w:p>
          <w:p w:rsidR="00B10DC0" w:rsidRDefault="00B10DC0"/>
        </w:tc>
      </w:tr>
      <w:tr w:rsidR="00B10DC0" w:rsidTr="00FA7E77">
        <w:trPr>
          <w:cantSplit/>
        </w:trPr>
        <w:tc>
          <w:tcPr>
            <w:tcW w:w="675" w:type="dxa"/>
          </w:tcPr>
          <w:p w:rsidR="00B10DC0" w:rsidRDefault="00B10DC0"/>
        </w:tc>
        <w:tc>
          <w:tcPr>
            <w:tcW w:w="8793" w:type="dxa"/>
            <w:gridSpan w:val="3"/>
          </w:tcPr>
          <w:p w:rsidR="00B10DC0" w:rsidRDefault="00B10DC0">
            <w:pPr>
              <w:rPr>
                <w:b/>
                <w:bCs/>
                <w:u w:val="single"/>
              </w:rPr>
            </w:pPr>
            <w:r>
              <w:rPr>
                <w:b/>
                <w:bCs/>
                <w:u w:val="single"/>
              </w:rPr>
              <w:t>Attendance</w:t>
            </w:r>
          </w:p>
          <w:p w:rsidR="00B10DC0" w:rsidRDefault="00B10DC0">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10DC0" w:rsidRDefault="00B10DC0"/>
          <w:p w:rsidR="00B10DC0" w:rsidRPr="008D291F" w:rsidRDefault="00B10DC0">
            <w:pPr>
              <w:rPr>
                <w:rFonts w:cs="Arial"/>
                <w:bCs/>
                <w:lang w:val="en-US"/>
              </w:rPr>
            </w:pPr>
            <w:r>
              <w:rPr>
                <w:rFonts w:cs="Arial"/>
                <w:b/>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76590B" w:rsidRDefault="0076590B" w:rsidP="0076590B">
      <w:pPr>
        <w:jc w:val="center"/>
      </w:pPr>
      <w:bookmarkStart w:id="0" w:name="_GoBack"/>
      <w:bookmarkEnd w:id="0"/>
      <w:r>
        <w:rPr>
          <w:noProof/>
          <w:lang w:eastAsia="en-CA"/>
        </w:rPr>
        <w:drawing>
          <wp:inline distT="0" distB="0" distL="0" distR="0" wp14:anchorId="18498AC1" wp14:editId="585CD4B2">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76590B" w:rsidRDefault="0076590B" w:rsidP="0076590B">
      <w:pPr>
        <w:jc w:val="center"/>
        <w:rPr>
          <w:rFonts w:cs="Arial"/>
          <w:b/>
        </w:rPr>
      </w:pPr>
    </w:p>
    <w:p w:rsidR="0076590B" w:rsidRDefault="0076590B" w:rsidP="0076590B">
      <w:pPr>
        <w:jc w:val="center"/>
        <w:rPr>
          <w:rFonts w:cs="Arial"/>
          <w:b/>
        </w:rPr>
      </w:pPr>
      <w:r w:rsidRPr="005412D5">
        <w:rPr>
          <w:rFonts w:cs="Arial"/>
          <w:b/>
        </w:rPr>
        <w:t>COURSE OUTLINE ADDENDUM</w:t>
      </w:r>
    </w:p>
    <w:p w:rsidR="0076590B" w:rsidRDefault="0076590B" w:rsidP="0076590B">
      <w:pPr>
        <w:jc w:val="center"/>
        <w:rPr>
          <w:rFonts w:cs="Arial"/>
          <w:b/>
        </w:rPr>
      </w:pPr>
    </w:p>
    <w:p w:rsidR="0076590B" w:rsidRPr="005412D5" w:rsidRDefault="0076590B" w:rsidP="0076590B">
      <w:pPr>
        <w:jc w:val="center"/>
        <w:rPr>
          <w:rFonts w:cs="Arial"/>
          <w:b/>
        </w:rPr>
      </w:pPr>
    </w:p>
    <w:p w:rsidR="0076590B" w:rsidRDefault="0076590B" w:rsidP="0076590B"/>
    <w:tbl>
      <w:tblPr>
        <w:tblW w:w="9360" w:type="dxa"/>
        <w:tblInd w:w="18" w:type="dxa"/>
        <w:tblLayout w:type="fixed"/>
        <w:tblLook w:val="0000" w:firstRow="0" w:lastRow="0" w:firstColumn="0" w:lastColumn="0" w:noHBand="0" w:noVBand="0"/>
      </w:tblPr>
      <w:tblGrid>
        <w:gridCol w:w="630"/>
        <w:gridCol w:w="8730"/>
      </w:tblGrid>
      <w:tr w:rsidR="0076590B" w:rsidTr="00FA7E77">
        <w:trPr>
          <w:cantSplit/>
        </w:trPr>
        <w:tc>
          <w:tcPr>
            <w:tcW w:w="630" w:type="dxa"/>
          </w:tcPr>
          <w:p w:rsidR="0076590B" w:rsidRDefault="0076590B" w:rsidP="000A7424">
            <w:r>
              <w:t>1.</w:t>
            </w:r>
          </w:p>
        </w:tc>
        <w:tc>
          <w:tcPr>
            <w:tcW w:w="8730" w:type="dxa"/>
          </w:tcPr>
          <w:p w:rsidR="0076590B" w:rsidRPr="00B85227" w:rsidRDefault="0076590B" w:rsidP="000A7424">
            <w:r w:rsidRPr="00B85227">
              <w:rPr>
                <w:u w:val="single"/>
              </w:rPr>
              <w:t>Course Outline Amendments</w:t>
            </w:r>
            <w:r w:rsidRPr="00B85227">
              <w:t>:</w:t>
            </w:r>
          </w:p>
          <w:p w:rsidR="0076590B" w:rsidRPr="00B85227" w:rsidRDefault="0076590B" w:rsidP="000A7424">
            <w:r>
              <w:t xml:space="preserve">The provisions contained in the addendum located in D2L and on the portal form part of this course outline. </w:t>
            </w:r>
            <w:r w:rsidRPr="00B85227">
              <w:t xml:space="preserve">The </w:t>
            </w:r>
            <w:r>
              <w:t>faculty member</w:t>
            </w:r>
            <w:r w:rsidRPr="00B85227">
              <w:t xml:space="preserve"> reserves the right to change the information contained in this course outline depending on the needs of the learner and the availability of resources.</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2.</w:t>
            </w:r>
          </w:p>
        </w:tc>
        <w:tc>
          <w:tcPr>
            <w:tcW w:w="8730" w:type="dxa"/>
          </w:tcPr>
          <w:p w:rsidR="0076590B" w:rsidRPr="00B85227" w:rsidRDefault="0076590B" w:rsidP="000A7424">
            <w:r w:rsidRPr="00B85227">
              <w:rPr>
                <w:u w:val="single"/>
              </w:rPr>
              <w:t>Retention of Course Outlines</w:t>
            </w:r>
            <w:r w:rsidRPr="00B85227">
              <w:t>:</w:t>
            </w:r>
          </w:p>
          <w:p w:rsidR="0076590B" w:rsidRPr="00B85227" w:rsidRDefault="0076590B" w:rsidP="000A7424">
            <w:r w:rsidRPr="00B85227">
              <w:t>It is the responsibility of the student to retain all course outlines for possible future use in acquiring advanced standing at other postsecondary institutions.</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3.</w:t>
            </w:r>
          </w:p>
        </w:tc>
        <w:tc>
          <w:tcPr>
            <w:tcW w:w="8730" w:type="dxa"/>
          </w:tcPr>
          <w:p w:rsidR="0076590B" w:rsidRPr="00B85227" w:rsidRDefault="0076590B" w:rsidP="000A7424">
            <w:pPr>
              <w:rPr>
                <w:b/>
              </w:rPr>
            </w:pPr>
            <w:r w:rsidRPr="00B85227">
              <w:rPr>
                <w:u w:val="single"/>
              </w:rPr>
              <w:t>Prior Learning Assessment</w:t>
            </w:r>
            <w:r w:rsidRPr="00B85227">
              <w:rPr>
                <w:b/>
              </w:rPr>
              <w:t>:</w:t>
            </w:r>
          </w:p>
          <w:p w:rsidR="0076590B" w:rsidRPr="00B85227" w:rsidRDefault="0076590B" w:rsidP="000A7424">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 xml:space="preserve">Please refer to the Student </w:t>
            </w:r>
            <w:r>
              <w:rPr>
                <w:rFonts w:cs="Arial"/>
                <w:szCs w:val="22"/>
              </w:rPr>
              <w:t>Key Dates Calendar</w:t>
            </w:r>
            <w:r w:rsidRPr="00B85227">
              <w:rPr>
                <w:rFonts w:cs="Arial"/>
                <w:szCs w:val="22"/>
              </w:rPr>
              <w:t xml:space="preserve"> for the deadline date by which application must be made for advance standing.</w:t>
            </w:r>
          </w:p>
          <w:p w:rsidR="0076590B" w:rsidRPr="00B85227" w:rsidRDefault="0076590B" w:rsidP="000A7424"/>
          <w:p w:rsidR="0076590B" w:rsidRDefault="0076590B" w:rsidP="000A7424">
            <w:pPr>
              <w:rPr>
                <w:rFonts w:cs="Arial"/>
              </w:rPr>
            </w:pPr>
            <w:r>
              <w:rPr>
                <w:rFonts w:cs="Arial"/>
              </w:rPr>
              <w:t>Credit for prior learning will also be given upon successful completion of a challenge exam or portfolio</w:t>
            </w:r>
            <w:r w:rsidRPr="00785C12">
              <w:rPr>
                <w:rFonts w:cs="Arial"/>
              </w:rPr>
              <w:t>. Student Services, located in E1101, can provide information regarding the Prior Learning Assessment and Recognition policy or it can be viewed on the student portal.</w:t>
            </w:r>
          </w:p>
          <w:p w:rsidR="0076590B" w:rsidRPr="00B85227" w:rsidRDefault="0076590B" w:rsidP="000A7424"/>
          <w:p w:rsidR="0076590B" w:rsidRPr="00B85227" w:rsidRDefault="0076590B" w:rsidP="000A7424">
            <w:r w:rsidRPr="00B85227">
              <w:t>Substitute course information is available in the Registrar's office.</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4.</w:t>
            </w:r>
          </w:p>
        </w:tc>
        <w:tc>
          <w:tcPr>
            <w:tcW w:w="8730" w:type="dxa"/>
          </w:tcPr>
          <w:p w:rsidR="0076590B" w:rsidRPr="002D240A" w:rsidRDefault="0076590B" w:rsidP="000A7424">
            <w:pPr>
              <w:rPr>
                <w:rFonts w:cs="Arial"/>
                <w:szCs w:val="24"/>
                <w:u w:val="single"/>
              </w:rPr>
            </w:pPr>
            <w:r w:rsidRPr="002D240A">
              <w:rPr>
                <w:rFonts w:cs="Arial"/>
                <w:szCs w:val="24"/>
                <w:u w:val="single"/>
              </w:rPr>
              <w:t>Student Portal</w:t>
            </w:r>
            <w:r>
              <w:rPr>
                <w:rFonts w:cs="Arial"/>
                <w:szCs w:val="24"/>
                <w:u w:val="single"/>
              </w:rPr>
              <w:t>:</w:t>
            </w:r>
          </w:p>
          <w:p w:rsidR="0076590B" w:rsidRDefault="0076590B" w:rsidP="000A7424">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w:t>
            </w:r>
            <w:proofErr w:type="spellStart"/>
            <w:r w:rsidRPr="002D240A">
              <w:rPr>
                <w:rFonts w:cs="Arial"/>
                <w:szCs w:val="24"/>
              </w:rPr>
              <w:t>LMS</w:t>
            </w:r>
            <w:proofErr w:type="spellEnd"/>
            <w:r w:rsidRPr="002D240A">
              <w:rPr>
                <w:rFonts w:cs="Arial"/>
                <w:szCs w:val="24"/>
              </w:rPr>
              <w:t xml:space="preserve">), and much more.  Go to </w:t>
            </w:r>
            <w:hyperlink r:id="rId11" w:history="1">
              <w:r w:rsidRPr="002D240A">
                <w:rPr>
                  <w:rStyle w:val="Hyperlink"/>
                  <w:rFonts w:cs="Arial"/>
                  <w:szCs w:val="24"/>
                </w:rPr>
                <w:t>https://my.saultcollege.ca</w:t>
              </w:r>
            </w:hyperlink>
            <w:r>
              <w:rPr>
                <w:rFonts w:cs="Arial"/>
                <w:szCs w:val="24"/>
              </w:rPr>
              <w:t>.</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5.</w:t>
            </w:r>
          </w:p>
        </w:tc>
        <w:tc>
          <w:tcPr>
            <w:tcW w:w="8730" w:type="dxa"/>
          </w:tcPr>
          <w:p w:rsidR="0076590B" w:rsidRPr="00B85227" w:rsidRDefault="0076590B" w:rsidP="000A7424">
            <w:pPr>
              <w:rPr>
                <w:u w:val="single"/>
              </w:rPr>
            </w:pPr>
            <w:r w:rsidRPr="00B85227">
              <w:rPr>
                <w:u w:val="single"/>
              </w:rPr>
              <w:t>Communication:</w:t>
            </w:r>
          </w:p>
          <w:p w:rsidR="0076590B" w:rsidRPr="00B85227" w:rsidRDefault="0076590B" w:rsidP="000A7424">
            <w:pPr>
              <w:rPr>
                <w:color w:val="0000FF"/>
                <w:szCs w:val="24"/>
                <w:lang w:eastAsia="en-CA"/>
              </w:rPr>
            </w:pPr>
            <w:r w:rsidRPr="00B85227">
              <w:rPr>
                <w:rFonts w:cs="Arial"/>
                <w:szCs w:val="24"/>
                <w:lang w:eastAsia="en-CA"/>
              </w:rPr>
              <w:t xml:space="preserve">The College considers </w:t>
            </w:r>
            <w:r w:rsidRPr="00B85227">
              <w:rPr>
                <w:rFonts w:cs="Arial"/>
                <w:b/>
                <w:bCs/>
                <w:i/>
                <w:iCs/>
                <w:szCs w:val="24"/>
                <w:lang w:eastAsia="en-CA"/>
              </w:rPr>
              <w:t>Desire2Learn (D2L) </w:t>
            </w:r>
            <w:r w:rsidRPr="00B85227">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w:t>
            </w:r>
            <w:r>
              <w:rPr>
                <w:rFonts w:cs="Arial"/>
                <w:szCs w:val="24"/>
                <w:lang w:eastAsia="en-CA"/>
              </w:rPr>
              <w:t>this course</w:t>
            </w:r>
            <w:r w:rsidRPr="00B85227">
              <w:rPr>
                <w:rFonts w:cs="Arial"/>
                <w:szCs w:val="24"/>
                <w:lang w:eastAsia="en-CA"/>
              </w:rPr>
              <w:t xml:space="preserve"> may be directly related to your willingness to take advantage of this Learning Management System (</w:t>
            </w:r>
            <w:proofErr w:type="spellStart"/>
            <w:r w:rsidRPr="00B85227">
              <w:rPr>
                <w:rFonts w:cs="Arial"/>
                <w:szCs w:val="24"/>
                <w:lang w:eastAsia="en-CA"/>
              </w:rPr>
              <w:t>LMS</w:t>
            </w:r>
            <w:proofErr w:type="spellEnd"/>
            <w:r w:rsidRPr="00B85227">
              <w:rPr>
                <w:rFonts w:cs="Arial"/>
                <w:szCs w:val="24"/>
                <w:lang w:eastAsia="en-CA"/>
              </w:rPr>
              <w:t>) communication tool</w:t>
            </w:r>
            <w:r w:rsidRPr="00B85227">
              <w:rPr>
                <w:rFonts w:cs="Arial"/>
                <w:color w:val="0000FF"/>
                <w:sz w:val="20"/>
                <w:lang w:eastAsia="en-CA"/>
              </w:rPr>
              <w:t>.</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6.</w:t>
            </w:r>
          </w:p>
        </w:tc>
        <w:tc>
          <w:tcPr>
            <w:tcW w:w="8730" w:type="dxa"/>
          </w:tcPr>
          <w:p w:rsidR="0076590B" w:rsidRPr="00B85227" w:rsidRDefault="0076590B" w:rsidP="000A7424">
            <w:r w:rsidRPr="00B85227">
              <w:rPr>
                <w:u w:val="single"/>
              </w:rPr>
              <w:t>Accessibility Services</w:t>
            </w:r>
            <w:r w:rsidRPr="00B85227">
              <w:t>:</w:t>
            </w:r>
          </w:p>
          <w:p w:rsidR="0076590B" w:rsidRDefault="0076590B" w:rsidP="000A7424">
            <w:pPr>
              <w:rPr>
                <w:rFonts w:cs="Arial"/>
              </w:rPr>
            </w:pPr>
            <w:r>
              <w:rPr>
                <w:rFonts w:cs="Arial"/>
              </w:rPr>
              <w:t>If you are a student with a disability (e.g. physical limitations, visual impairments, hearing impairments, or learning disabilities), you are encouraged to discuss required accommodations with the</w:t>
            </w:r>
            <w:r>
              <w:rPr>
                <w:rFonts w:cs="Arial"/>
                <w:color w:val="1F497D"/>
              </w:rPr>
              <w:t xml:space="preserve"> </w:t>
            </w:r>
            <w:r>
              <w:rPr>
                <w:rFonts w:cs="Arial"/>
              </w:rPr>
              <w:t>Accessibility Services office.  Visit Room E1101</w:t>
            </w:r>
            <w:r>
              <w:rPr>
                <w:rFonts w:cs="Arial"/>
                <w:color w:val="1F497D"/>
              </w:rPr>
              <w:t xml:space="preserve">, </w:t>
            </w:r>
            <w:r>
              <w:rPr>
                <w:rFonts w:cs="Arial"/>
              </w:rPr>
              <w:t xml:space="preserve">call Ext. 2703 </w:t>
            </w:r>
            <w:r w:rsidRPr="00785C12">
              <w:rPr>
                <w:rFonts w:cs="Arial"/>
              </w:rPr>
              <w:t xml:space="preserve">or email </w:t>
            </w:r>
            <w:hyperlink r:id="rId12" w:history="1">
              <w:r>
                <w:rPr>
                  <w:rStyle w:val="Hyperlink"/>
                  <w:rFonts w:cs="Arial"/>
                </w:rPr>
                <w:t>studentsupport@saultcollege.ca</w:t>
              </w:r>
            </w:hyperlink>
            <w:r>
              <w:rPr>
                <w:rFonts w:cs="Arial"/>
                <w:color w:val="1F497D"/>
              </w:rPr>
              <w:t xml:space="preserve"> </w:t>
            </w:r>
            <w:r>
              <w:rPr>
                <w:rFonts w:cs="Arial"/>
              </w:rPr>
              <w:t>so that support services can be arranged for you.</w:t>
            </w:r>
          </w:p>
          <w:p w:rsidR="0076590B" w:rsidRPr="00B85227" w:rsidRDefault="0076590B" w:rsidP="000A7424"/>
        </w:tc>
      </w:tr>
      <w:tr w:rsidR="0076590B" w:rsidTr="00FA7E77">
        <w:trPr>
          <w:cantSplit/>
        </w:trPr>
        <w:tc>
          <w:tcPr>
            <w:tcW w:w="630" w:type="dxa"/>
          </w:tcPr>
          <w:p w:rsidR="0076590B" w:rsidRDefault="0076590B" w:rsidP="000A7424">
            <w:r>
              <w:t>7.</w:t>
            </w:r>
          </w:p>
        </w:tc>
        <w:tc>
          <w:tcPr>
            <w:tcW w:w="8730" w:type="dxa"/>
          </w:tcPr>
          <w:p w:rsidR="0076590B" w:rsidRDefault="0076590B" w:rsidP="000A7424">
            <w:pPr>
              <w:rPr>
                <w:rFonts w:cs="Arial"/>
                <w:u w:val="single"/>
                <w:lang w:eastAsia="en-CA"/>
              </w:rPr>
            </w:pPr>
            <w:r w:rsidRPr="00785C12">
              <w:rPr>
                <w:rFonts w:cs="Arial"/>
                <w:u w:val="single"/>
                <w:lang w:eastAsia="en-CA"/>
              </w:rPr>
              <w:t xml:space="preserve">Audio and Video </w:t>
            </w:r>
            <w:r>
              <w:rPr>
                <w:rFonts w:cs="Arial"/>
                <w:u w:val="single"/>
                <w:lang w:eastAsia="en-CA"/>
              </w:rPr>
              <w:t>Recording Devices in the Classroom:</w:t>
            </w:r>
          </w:p>
          <w:p w:rsidR="0076590B" w:rsidRPr="00785C12" w:rsidRDefault="0076590B" w:rsidP="000A7424">
            <w:pPr>
              <w:rPr>
                <w:rFonts w:ascii="Franklin Gothic Book" w:hAnsi="Franklin Gothic Book" w:cs="Calibri"/>
              </w:rPr>
            </w:pPr>
            <w:r>
              <w:rPr>
                <w:rFonts w:cs="Arial"/>
                <w:lang w:eastAsia="en-CA"/>
              </w:rPr>
              <w:t>Students who wish to use electronic devices in the classroom will seek permission of the faculty member before proceeding to record instruction. </w:t>
            </w:r>
            <w:r w:rsidRPr="00785C12">
              <w:rPr>
                <w:rFonts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76590B" w:rsidRPr="00B85227" w:rsidRDefault="0076590B" w:rsidP="000A7424">
            <w:pPr>
              <w:rPr>
                <w:u w:val="single"/>
              </w:rPr>
            </w:pPr>
          </w:p>
        </w:tc>
      </w:tr>
      <w:tr w:rsidR="0076590B" w:rsidTr="00FA7E77">
        <w:trPr>
          <w:cantSplit/>
        </w:trPr>
        <w:tc>
          <w:tcPr>
            <w:tcW w:w="630" w:type="dxa"/>
          </w:tcPr>
          <w:p w:rsidR="0076590B" w:rsidRDefault="0076590B" w:rsidP="000A7424">
            <w:r>
              <w:t>8.</w:t>
            </w:r>
          </w:p>
        </w:tc>
        <w:tc>
          <w:tcPr>
            <w:tcW w:w="8730" w:type="dxa"/>
          </w:tcPr>
          <w:p w:rsidR="0076590B" w:rsidRDefault="0076590B" w:rsidP="000A7424">
            <w:pPr>
              <w:rPr>
                <w:rFonts w:cs="Arial"/>
              </w:rPr>
            </w:pPr>
            <w:r>
              <w:rPr>
                <w:rFonts w:cs="Arial"/>
                <w:u w:val="single"/>
              </w:rPr>
              <w:t>Academic Dishonesty</w:t>
            </w:r>
            <w:r>
              <w:rPr>
                <w:rFonts w:cs="Arial"/>
              </w:rPr>
              <w:t>:</w:t>
            </w:r>
          </w:p>
          <w:p w:rsidR="0076590B" w:rsidRDefault="0076590B" w:rsidP="000A7424">
            <w:pPr>
              <w:rPr>
                <w:rFonts w:cs="Arial"/>
              </w:rPr>
            </w:pPr>
            <w:r>
              <w:rPr>
                <w:rFonts w:cs="Arial"/>
              </w:rPr>
              <w:t xml:space="preserve">Students should refer to the definition of “academic dishonesty” in the </w:t>
            </w:r>
            <w:r>
              <w:rPr>
                <w:rFonts w:cs="Arial"/>
                <w:i/>
                <w:iCs/>
              </w:rPr>
              <w:t>Student Code of Conduct</w:t>
            </w:r>
            <w:r>
              <w:rPr>
                <w:rFonts w:cs="Arial"/>
              </w:rPr>
              <w:t xml:space="preserve">.  Students who engage in academic dishonesty will </w:t>
            </w:r>
            <w:r w:rsidRPr="00785C12">
              <w:rPr>
                <w:rFonts w:cs="Arial"/>
              </w:rPr>
              <w:t xml:space="preserve">be issued a sanction under the Student Code of Conduct which could lead to and include expulsion from the </w:t>
            </w:r>
            <w:r>
              <w:rPr>
                <w:rFonts w:cs="Arial"/>
              </w:rPr>
              <w:t>course/program</w:t>
            </w:r>
            <w:r>
              <w:rPr>
                <w:rFonts w:cs="Arial"/>
                <w:color w:val="1F497D"/>
              </w:rPr>
              <w:t>.</w:t>
            </w:r>
            <w:r>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76590B" w:rsidRPr="00B85227" w:rsidRDefault="0076590B" w:rsidP="000A7424"/>
        </w:tc>
      </w:tr>
      <w:tr w:rsidR="0076590B" w:rsidTr="00FA7E77">
        <w:trPr>
          <w:cantSplit/>
        </w:trPr>
        <w:tc>
          <w:tcPr>
            <w:tcW w:w="630" w:type="dxa"/>
          </w:tcPr>
          <w:p w:rsidR="0076590B" w:rsidRDefault="0076590B" w:rsidP="000A7424">
            <w:r>
              <w:t>9.</w:t>
            </w:r>
          </w:p>
        </w:tc>
        <w:tc>
          <w:tcPr>
            <w:tcW w:w="8730" w:type="dxa"/>
          </w:tcPr>
          <w:p w:rsidR="0076590B" w:rsidRPr="00B85227" w:rsidRDefault="0076590B" w:rsidP="000A7424">
            <w:pPr>
              <w:rPr>
                <w:rFonts w:cs="Arial"/>
                <w:szCs w:val="24"/>
                <w:u w:val="single"/>
              </w:rPr>
            </w:pPr>
            <w:r w:rsidRPr="00B85227">
              <w:rPr>
                <w:rFonts w:cs="Arial"/>
                <w:szCs w:val="24"/>
                <w:u w:val="single"/>
              </w:rPr>
              <w:t>Tuition Default:</w:t>
            </w:r>
          </w:p>
          <w:p w:rsidR="0076590B" w:rsidRPr="00B85227" w:rsidRDefault="0076590B" w:rsidP="000A7424">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honoured)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6590B" w:rsidRPr="00B85227" w:rsidRDefault="0076590B" w:rsidP="000A7424"/>
        </w:tc>
      </w:tr>
    </w:tbl>
    <w:p w:rsidR="0076590B" w:rsidRDefault="0076590B" w:rsidP="0076590B">
      <w:pPr>
        <w:pStyle w:val="EnvelopeReturn"/>
      </w:pPr>
    </w:p>
    <w:p w:rsidR="0076590B" w:rsidRDefault="0076590B" w:rsidP="0076590B"/>
    <w:p w:rsidR="0076590B" w:rsidRDefault="0076590B" w:rsidP="0076590B">
      <w:r>
        <w:tab/>
      </w:r>
      <w:r>
        <w:tab/>
      </w:r>
      <w:r>
        <w:tab/>
      </w:r>
    </w:p>
    <w:p w:rsidR="00B62EFE" w:rsidRPr="008D291F" w:rsidRDefault="00B62EFE">
      <w:pPr>
        <w:rPr>
          <w:szCs w:val="22"/>
        </w:rPr>
      </w:pPr>
    </w:p>
    <w:sectPr w:rsidR="00B62EFE" w:rsidRPr="008D291F" w:rsidSect="008D291F">
      <w:headerReference w:type="default" r:id="rId13"/>
      <w:pgSz w:w="12240" w:h="15840" w:code="1"/>
      <w:pgMar w:top="1440" w:right="1440" w:bottom="36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EC" w:rsidRPr="002A57DF" w:rsidRDefault="001234C4">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FA7E7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158"/>
      <w:gridCol w:w="770"/>
      <w:gridCol w:w="4540"/>
    </w:tblGrid>
    <w:tr w:rsidR="002204EC" w:rsidRPr="002A57DF">
      <w:tc>
        <w:tcPr>
          <w:tcW w:w="4158" w:type="dxa"/>
        </w:tcPr>
        <w:p w:rsidR="002204EC" w:rsidRPr="002A57DF" w:rsidRDefault="002204EC" w:rsidP="00511B9F">
          <w:pPr>
            <w:rPr>
              <w:b/>
              <w:snapToGrid w:val="0"/>
              <w:sz w:val="24"/>
              <w:szCs w:val="24"/>
            </w:rPr>
          </w:pPr>
          <w:r>
            <w:rPr>
              <w:b/>
              <w:snapToGrid w:val="0"/>
              <w:sz w:val="24"/>
              <w:szCs w:val="24"/>
            </w:rPr>
            <w:t>MICROBIOLOGY</w:t>
          </w:r>
          <w:r w:rsidR="005377D3">
            <w:rPr>
              <w:b/>
              <w:snapToGrid w:val="0"/>
              <w:sz w:val="24"/>
              <w:szCs w:val="24"/>
            </w:rPr>
            <w:t xml:space="preserve"> for the HEALTH SCIENCES</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377D3">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w:t>
          </w:r>
          <w:r w:rsidR="005377D3">
            <w:rPr>
              <w:rFonts w:ascii="Arial" w:hAnsi="Arial"/>
              <w:b/>
              <w:snapToGrid w:val="0"/>
              <w:szCs w:val="24"/>
            </w:rPr>
            <w:t>3</w:t>
          </w:r>
          <w:r w:rsidR="009D6159">
            <w:rPr>
              <w:rFonts w:ascii="Arial" w:hAnsi="Arial"/>
              <w:b/>
              <w:snapToGrid w:val="0"/>
              <w:szCs w:val="24"/>
            </w:rPr>
            <w:t>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DF"/>
    <w:rsid w:val="000156E5"/>
    <w:rsid w:val="0007488E"/>
    <w:rsid w:val="000A18BC"/>
    <w:rsid w:val="00105110"/>
    <w:rsid w:val="001234C4"/>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377D3"/>
    <w:rsid w:val="005630A8"/>
    <w:rsid w:val="0057041D"/>
    <w:rsid w:val="005706F1"/>
    <w:rsid w:val="005771FE"/>
    <w:rsid w:val="005954B3"/>
    <w:rsid w:val="0063699E"/>
    <w:rsid w:val="00666696"/>
    <w:rsid w:val="007036AC"/>
    <w:rsid w:val="00742CEC"/>
    <w:rsid w:val="00746093"/>
    <w:rsid w:val="0076590B"/>
    <w:rsid w:val="007A0CD1"/>
    <w:rsid w:val="007C7BBF"/>
    <w:rsid w:val="007F4F52"/>
    <w:rsid w:val="00816831"/>
    <w:rsid w:val="00837988"/>
    <w:rsid w:val="00887690"/>
    <w:rsid w:val="008D291F"/>
    <w:rsid w:val="008D6426"/>
    <w:rsid w:val="009230D5"/>
    <w:rsid w:val="00986EAC"/>
    <w:rsid w:val="00995DC6"/>
    <w:rsid w:val="009D6159"/>
    <w:rsid w:val="00A32E21"/>
    <w:rsid w:val="00AB7749"/>
    <w:rsid w:val="00B10DC0"/>
    <w:rsid w:val="00B62EFE"/>
    <w:rsid w:val="00BE34C1"/>
    <w:rsid w:val="00C13A8E"/>
    <w:rsid w:val="00C478CD"/>
    <w:rsid w:val="00C845FB"/>
    <w:rsid w:val="00CA0D8E"/>
    <w:rsid w:val="00CF667B"/>
    <w:rsid w:val="00D517C6"/>
    <w:rsid w:val="00D535FC"/>
    <w:rsid w:val="00DC31BF"/>
    <w:rsid w:val="00DD6D83"/>
    <w:rsid w:val="00EB72A6"/>
    <w:rsid w:val="00EF295D"/>
    <w:rsid w:val="00F3046C"/>
    <w:rsid w:val="00F470BB"/>
    <w:rsid w:val="00FA31A4"/>
    <w:rsid w:val="00FA7E77"/>
    <w:rsid w:val="00FC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eslie.dafoe@saultc.on.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F3B68-D018-4A07-B407-2A1BF0412655}"/>
</file>

<file path=customXml/itemProps2.xml><?xml version="1.0" encoding="utf-8"?>
<ds:datastoreItem xmlns:ds="http://schemas.openxmlformats.org/officeDocument/2006/customXml" ds:itemID="{9705EEFC-D835-4EFB-88BC-018EB797BD48}"/>
</file>

<file path=customXml/itemProps3.xml><?xml version="1.0" encoding="utf-8"?>
<ds:datastoreItem xmlns:ds="http://schemas.openxmlformats.org/officeDocument/2006/customXml" ds:itemID="{47207A68-AC25-4A2C-9424-A95D598E357A}"/>
</file>

<file path=docProps/app.xml><?xml version="1.0" encoding="utf-8"?>
<Properties xmlns="http://schemas.openxmlformats.org/officeDocument/2006/extended-properties" xmlns:vt="http://schemas.openxmlformats.org/officeDocument/2006/docPropsVTypes">
  <Template>BScN Course Outline Template.dot</Template>
  <TotalTime>61</TotalTime>
  <Pages>7</Pages>
  <Words>1950</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13371</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9</cp:revision>
  <cp:lastPrinted>2015-11-18T16:28:00Z</cp:lastPrinted>
  <dcterms:created xsi:type="dcterms:W3CDTF">2013-08-29T12:01:00Z</dcterms:created>
  <dcterms:modified xsi:type="dcterms:W3CDTF">2015-11-18T16:28:00Z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5044200</vt:r8>
  </property>
</Properties>
</file>